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twenty-one.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old?",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20/20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didn't..And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my...I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singing?".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9/11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many...It's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Self-determination.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toolkit.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toolkit.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ESC13.net/transition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ESC13.net/transition,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Elizabeth.danner,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A-N-N-E-R,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Elizabeth.danner@esc13.txed.net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transitionintexas.org,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24/7.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Russel: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 Danner: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LifeSkills Radio Ep (Completed  04/23/19)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"https://www.rev.com/transcript-editor/Edit?token=uluSoZWkYsOqMAqfBsy0_ZeuxTdhSbl1k3Y59LXURI4jZMuG2rctJMBTbogsyNkIjjo_p7wtLwej6S0YZxkNGXKtmho&amp;loadFrom=DocumentHeaderDeepLink"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