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Isenberg.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Marquez.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Melinda,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walkthroughs,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walkthroughs,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walkthroughs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Isenberg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school-wide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Melinda,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insubordination,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disrespect,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"Angela,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deplorable,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deplorable.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exclamation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Marquez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impromptu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misbehaviors,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misbehaviors?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 Isenberg: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Isenberg.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Melinda Marquez: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Marquez.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I've Tried Everything Ep1 The Discipline Matrix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04,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"https://www.rev.com/transcript-editor/Edit?token=yZ5XT477S3-KmsGZFvh-pGLlHfAVWndb2Vmyrkc7zfpX2WZx_fKASjYnkWCUgNfBcSm34pxP134a6DL5CrepJ_Kb9Kw&amp;loadFrom=DocumentHeaderDeepLink"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